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165" w:rsidRDefault="00D42165" w:rsidP="00D42165">
      <w:pPr>
        <w:jc w:val="center"/>
        <w:rPr>
          <w:b/>
        </w:rPr>
      </w:pPr>
    </w:p>
    <w:p w:rsidR="00D8733B" w:rsidRDefault="00D42165" w:rsidP="00D42165">
      <w:pPr>
        <w:jc w:val="center"/>
        <w:rPr>
          <w:b/>
          <w:sz w:val="32"/>
          <w:szCs w:val="32"/>
        </w:rPr>
      </w:pPr>
      <w:bookmarkStart w:id="0" w:name="_GoBack"/>
      <w:r w:rsidRPr="00D8733B">
        <w:rPr>
          <w:b/>
          <w:sz w:val="32"/>
          <w:szCs w:val="32"/>
        </w:rPr>
        <w:t xml:space="preserve">Об организации сбора и определении места первичного сбора и размещения отработанных </w:t>
      </w:r>
      <w:r w:rsidR="00D8733B">
        <w:rPr>
          <w:b/>
          <w:sz w:val="32"/>
          <w:szCs w:val="32"/>
        </w:rPr>
        <w:t xml:space="preserve">химических </w:t>
      </w:r>
      <w:r w:rsidRPr="00D8733B">
        <w:rPr>
          <w:b/>
          <w:sz w:val="32"/>
          <w:szCs w:val="32"/>
        </w:rPr>
        <w:t xml:space="preserve">источников тока </w:t>
      </w:r>
    </w:p>
    <w:bookmarkEnd w:id="0"/>
    <w:p w:rsidR="0023775C" w:rsidRPr="00D8733B" w:rsidRDefault="00D42165" w:rsidP="00D42165">
      <w:pPr>
        <w:jc w:val="center"/>
        <w:rPr>
          <w:b/>
          <w:sz w:val="32"/>
          <w:szCs w:val="32"/>
        </w:rPr>
      </w:pPr>
      <w:r w:rsidRPr="00D8733B">
        <w:rPr>
          <w:b/>
          <w:sz w:val="32"/>
          <w:szCs w:val="32"/>
        </w:rPr>
        <w:t>(батареек, аккумуляторов) у граждан на территории Пермского муниципального округа Пермского края</w:t>
      </w:r>
    </w:p>
    <w:p w:rsidR="00227B3E" w:rsidRDefault="005950E8">
      <w:pPr>
        <w:rPr>
          <w:rFonts w:asciiTheme="minorHAnsi" w:hAnsiTheme="minorHAnsi"/>
          <w:color w:val="666666"/>
          <w:sz w:val="23"/>
          <w:szCs w:val="23"/>
          <w:shd w:val="clear" w:color="auto" w:fill="FFFFFF"/>
        </w:rPr>
      </w:pPr>
      <w:r>
        <w:rPr>
          <w:rFonts w:ascii="Helvetica" w:hAnsi="Helvetica"/>
          <w:color w:val="666666"/>
          <w:sz w:val="23"/>
          <w:szCs w:val="23"/>
          <w:shd w:val="clear" w:color="auto" w:fill="FFFFFF"/>
        </w:rPr>
        <w:t> </w:t>
      </w:r>
    </w:p>
    <w:p w:rsidR="00227B3E" w:rsidRDefault="00227B3E">
      <w:pPr>
        <w:rPr>
          <w:rFonts w:asciiTheme="minorHAnsi" w:hAnsiTheme="minorHAnsi"/>
          <w:color w:val="666666"/>
          <w:sz w:val="23"/>
          <w:szCs w:val="23"/>
          <w:shd w:val="clear" w:color="auto" w:fill="FFFFFF"/>
        </w:rPr>
      </w:pPr>
    </w:p>
    <w:p w:rsidR="00227B3E" w:rsidRPr="00227B3E" w:rsidRDefault="00227B3E" w:rsidP="0093229E">
      <w:pPr>
        <w:shd w:val="clear" w:color="auto" w:fill="FFFFFF"/>
        <w:spacing w:line="360" w:lineRule="exact"/>
        <w:ind w:firstLine="709"/>
        <w:jc w:val="both"/>
        <w:rPr>
          <w:color w:val="342E2F"/>
          <w:szCs w:val="28"/>
          <w:lang w:eastAsia="ru-RU"/>
        </w:rPr>
      </w:pPr>
      <w:r w:rsidRPr="00227B3E">
        <w:rPr>
          <w:color w:val="342E2F"/>
          <w:szCs w:val="28"/>
          <w:lang w:eastAsia="ru-RU"/>
        </w:rPr>
        <w:t>Отработанные химические источники тока, более известные в быту как батарейки и аккумуляторы, относятся действующим законодательством к отходам II класса опасности, содержащим в себе токсические вещества такие как:</w:t>
      </w:r>
    </w:p>
    <w:p w:rsidR="00227B3E" w:rsidRPr="00227B3E" w:rsidRDefault="00227B3E" w:rsidP="0093229E">
      <w:pPr>
        <w:numPr>
          <w:ilvl w:val="0"/>
          <w:numId w:val="1"/>
        </w:numPr>
        <w:shd w:val="clear" w:color="auto" w:fill="FFFFFF"/>
        <w:spacing w:line="360" w:lineRule="exact"/>
        <w:jc w:val="both"/>
        <w:rPr>
          <w:color w:val="342E2F"/>
          <w:szCs w:val="28"/>
          <w:lang w:eastAsia="ru-RU"/>
        </w:rPr>
      </w:pPr>
      <w:r w:rsidRPr="00227B3E">
        <w:rPr>
          <w:color w:val="342E2F"/>
          <w:szCs w:val="28"/>
          <w:lang w:eastAsia="ru-RU"/>
        </w:rPr>
        <w:t>Ртуть. Испарения которой поражают нервную систему, вызывая патологию мозга и ЦНС, печень и желчный пузырь, может вызывают заболевания легких.</w:t>
      </w:r>
    </w:p>
    <w:p w:rsidR="00227B3E" w:rsidRPr="00227B3E" w:rsidRDefault="00227B3E" w:rsidP="0093229E">
      <w:pPr>
        <w:numPr>
          <w:ilvl w:val="0"/>
          <w:numId w:val="1"/>
        </w:numPr>
        <w:shd w:val="clear" w:color="auto" w:fill="FFFFFF"/>
        <w:spacing w:line="360" w:lineRule="exact"/>
        <w:jc w:val="both"/>
        <w:rPr>
          <w:color w:val="342E2F"/>
          <w:szCs w:val="28"/>
          <w:lang w:eastAsia="ru-RU"/>
        </w:rPr>
      </w:pPr>
      <w:r w:rsidRPr="00227B3E">
        <w:rPr>
          <w:color w:val="342E2F"/>
          <w:szCs w:val="28"/>
          <w:lang w:eastAsia="ru-RU"/>
        </w:rPr>
        <w:t>Свинец. Тормозит деятельность нервной системы и мозга, при накоплении в организме вызывает кому и судороги.</w:t>
      </w:r>
    </w:p>
    <w:p w:rsidR="00227B3E" w:rsidRPr="00227B3E" w:rsidRDefault="00227B3E" w:rsidP="0093229E">
      <w:pPr>
        <w:numPr>
          <w:ilvl w:val="0"/>
          <w:numId w:val="1"/>
        </w:numPr>
        <w:shd w:val="clear" w:color="auto" w:fill="FFFFFF"/>
        <w:spacing w:line="360" w:lineRule="exact"/>
        <w:jc w:val="both"/>
        <w:rPr>
          <w:color w:val="342E2F"/>
          <w:szCs w:val="28"/>
          <w:lang w:eastAsia="ru-RU"/>
        </w:rPr>
      </w:pPr>
      <w:r w:rsidRPr="00227B3E">
        <w:rPr>
          <w:color w:val="342E2F"/>
          <w:szCs w:val="28"/>
          <w:lang w:eastAsia="ru-RU"/>
        </w:rPr>
        <w:t>Кадмий. Является канцерогеном для дыхательных путей и почек, крайне медленно выводится из организма, что приводит к заболеваниям органов дыхания почек и мочевыводящей системы</w:t>
      </w:r>
    </w:p>
    <w:p w:rsidR="00227B3E" w:rsidRPr="00227B3E" w:rsidRDefault="00227B3E" w:rsidP="0093229E">
      <w:pPr>
        <w:numPr>
          <w:ilvl w:val="0"/>
          <w:numId w:val="1"/>
        </w:numPr>
        <w:shd w:val="clear" w:color="auto" w:fill="FFFFFF"/>
        <w:spacing w:line="360" w:lineRule="exact"/>
        <w:jc w:val="both"/>
        <w:rPr>
          <w:color w:val="342E2F"/>
          <w:szCs w:val="28"/>
          <w:lang w:eastAsia="ru-RU"/>
        </w:rPr>
      </w:pPr>
      <w:r w:rsidRPr="00227B3E">
        <w:rPr>
          <w:color w:val="342E2F"/>
          <w:szCs w:val="28"/>
          <w:lang w:eastAsia="ru-RU"/>
        </w:rPr>
        <w:t>Никель. Провоцирует нарушения сердечной деятельности.</w:t>
      </w:r>
    </w:p>
    <w:p w:rsidR="00227B3E" w:rsidRPr="00227B3E" w:rsidRDefault="00227B3E" w:rsidP="0093229E">
      <w:pPr>
        <w:numPr>
          <w:ilvl w:val="0"/>
          <w:numId w:val="1"/>
        </w:numPr>
        <w:shd w:val="clear" w:color="auto" w:fill="FFFFFF"/>
        <w:spacing w:line="360" w:lineRule="exact"/>
        <w:jc w:val="both"/>
        <w:rPr>
          <w:color w:val="342E2F"/>
          <w:szCs w:val="28"/>
          <w:lang w:eastAsia="ru-RU"/>
        </w:rPr>
      </w:pPr>
      <w:r w:rsidRPr="00227B3E">
        <w:rPr>
          <w:color w:val="342E2F"/>
          <w:szCs w:val="28"/>
          <w:lang w:eastAsia="ru-RU"/>
        </w:rPr>
        <w:t>Цинк. Вызывает острые и хронические заболевания кишечника.</w:t>
      </w:r>
    </w:p>
    <w:p w:rsidR="00227B3E" w:rsidRPr="00227B3E" w:rsidRDefault="00227B3E" w:rsidP="0093229E">
      <w:pPr>
        <w:shd w:val="clear" w:color="auto" w:fill="FFFFFF"/>
        <w:spacing w:line="360" w:lineRule="exact"/>
        <w:ind w:firstLine="709"/>
        <w:jc w:val="both"/>
        <w:rPr>
          <w:color w:val="342E2F"/>
          <w:szCs w:val="28"/>
          <w:lang w:eastAsia="ru-RU"/>
        </w:rPr>
      </w:pPr>
      <w:r w:rsidRPr="00227B3E">
        <w:rPr>
          <w:color w:val="342E2F"/>
          <w:szCs w:val="28"/>
          <w:lang w:eastAsia="ru-RU"/>
        </w:rPr>
        <w:t>Все указанные выше вещества, попадающие в тело человека, способны вызвать тяжелые онкологические заболевания.</w:t>
      </w:r>
    </w:p>
    <w:p w:rsidR="00227B3E" w:rsidRPr="00227B3E" w:rsidRDefault="00227B3E" w:rsidP="0093229E">
      <w:pPr>
        <w:shd w:val="clear" w:color="auto" w:fill="FFFFFF"/>
        <w:spacing w:line="360" w:lineRule="exact"/>
        <w:ind w:firstLine="709"/>
        <w:jc w:val="both"/>
        <w:rPr>
          <w:color w:val="342E2F"/>
          <w:szCs w:val="28"/>
          <w:lang w:eastAsia="ru-RU"/>
        </w:rPr>
      </w:pPr>
      <w:r w:rsidRPr="00227B3E">
        <w:rPr>
          <w:color w:val="342E2F"/>
          <w:szCs w:val="28"/>
          <w:lang w:eastAsia="ru-RU"/>
        </w:rPr>
        <w:t>Все батарейки можно утилизировать, а батарейки, содержащие токсичные металлы, такие как свинец, ртуть и кадмий, необходимо утилизировать, чтобы предотвратить нанесение вреда окружающей среде.</w:t>
      </w:r>
    </w:p>
    <w:p w:rsidR="00227B3E" w:rsidRPr="00227B3E" w:rsidRDefault="00227B3E" w:rsidP="0093229E">
      <w:pPr>
        <w:shd w:val="clear" w:color="auto" w:fill="FFFFFF"/>
        <w:spacing w:line="360" w:lineRule="exact"/>
        <w:ind w:firstLine="709"/>
        <w:jc w:val="both"/>
        <w:rPr>
          <w:color w:val="342E2F"/>
          <w:szCs w:val="28"/>
          <w:lang w:eastAsia="ru-RU"/>
        </w:rPr>
      </w:pPr>
      <w:r w:rsidRPr="00227B3E">
        <w:rPr>
          <w:color w:val="342E2F"/>
          <w:szCs w:val="28"/>
          <w:lang w:eastAsia="ru-RU"/>
        </w:rPr>
        <w:t xml:space="preserve">Не выбрасывайте батарейки в мусорное ведро. Попав на свалку, корпус маленькой батарейки разрушается и выделяет токсичную начинку. Заражается почва, подземные воды, атмосферный воздух. Вместе с водой и продуктами организм человека получает порции токсических веществ. Элемент питания разлагается в течение ста лет, успевая </w:t>
      </w:r>
      <w:r w:rsidR="00550095">
        <w:rPr>
          <w:color w:val="342E2F"/>
          <w:szCs w:val="28"/>
          <w:lang w:eastAsia="ru-RU"/>
        </w:rPr>
        <w:t>отравить</w:t>
      </w:r>
      <w:r w:rsidRPr="00227B3E">
        <w:rPr>
          <w:color w:val="342E2F"/>
          <w:szCs w:val="28"/>
          <w:lang w:eastAsia="ru-RU"/>
        </w:rPr>
        <w:t xml:space="preserve"> 20 м</w:t>
      </w:r>
      <w:r w:rsidRPr="00227B3E">
        <w:rPr>
          <w:color w:val="342E2F"/>
          <w:szCs w:val="28"/>
          <w:vertAlign w:val="superscript"/>
          <w:lang w:eastAsia="ru-RU"/>
        </w:rPr>
        <w:t xml:space="preserve">2 </w:t>
      </w:r>
      <w:r w:rsidRPr="00227B3E">
        <w:rPr>
          <w:color w:val="342E2F"/>
          <w:szCs w:val="28"/>
          <w:lang w:eastAsia="ru-RU"/>
        </w:rPr>
        <w:t>почвы. Статистика утверждает, что на каждого жителя России приходится 7 батареек в год.</w:t>
      </w:r>
    </w:p>
    <w:p w:rsidR="00227B3E" w:rsidRPr="00227B3E" w:rsidRDefault="00550095" w:rsidP="0093229E">
      <w:pPr>
        <w:shd w:val="clear" w:color="auto" w:fill="FFFFFF"/>
        <w:spacing w:line="360" w:lineRule="exact"/>
        <w:ind w:firstLine="709"/>
        <w:jc w:val="both"/>
        <w:rPr>
          <w:color w:val="342E2F"/>
          <w:szCs w:val="28"/>
          <w:lang w:eastAsia="ru-RU"/>
        </w:rPr>
      </w:pPr>
      <w:r>
        <w:rPr>
          <w:color w:val="342E2F"/>
          <w:szCs w:val="28"/>
          <w:lang w:eastAsia="ru-RU"/>
        </w:rPr>
        <w:t>Отравление</w:t>
      </w:r>
      <w:r w:rsidR="00227B3E" w:rsidRPr="00227B3E">
        <w:rPr>
          <w:color w:val="342E2F"/>
          <w:szCs w:val="28"/>
          <w:lang w:eastAsia="ru-RU"/>
        </w:rPr>
        <w:t xml:space="preserve"> окружающей среды невозможно остановить, но возможно не допустить, если сдавать использованные элементы питания в специальные пункты приема. Правильная утилизация дает отходам вторую жизнь в виде вторсырья или альтернативных источников топлива. </w:t>
      </w:r>
    </w:p>
    <w:p w:rsidR="00EA7A88" w:rsidRDefault="00261C71" w:rsidP="00D42165">
      <w:pPr>
        <w:spacing w:line="360" w:lineRule="exact"/>
        <w:ind w:firstLine="709"/>
        <w:jc w:val="both"/>
        <w:rPr>
          <w:szCs w:val="28"/>
        </w:rPr>
      </w:pPr>
      <w:r w:rsidRPr="0093229E">
        <w:rPr>
          <w:szCs w:val="28"/>
        </w:rPr>
        <w:t xml:space="preserve">На территории ПМО </w:t>
      </w:r>
      <w:r w:rsidR="006B37FC" w:rsidRPr="006B37FC">
        <w:rPr>
          <w:bCs/>
          <w:szCs w:val="28"/>
          <w:lang w:eastAsia="ar-SA"/>
        </w:rPr>
        <w:t xml:space="preserve">в публичном доступе </w:t>
      </w:r>
      <w:r w:rsidR="0093229E" w:rsidRPr="0093229E">
        <w:rPr>
          <w:szCs w:val="28"/>
        </w:rPr>
        <w:t xml:space="preserve">организованы </w:t>
      </w:r>
      <w:r w:rsidR="00EA7A88">
        <w:t>места предварительного сбора и временного размещения химических источников тока</w:t>
      </w:r>
      <w:r w:rsidR="00C70F21">
        <w:t>,</w:t>
      </w:r>
      <w:r w:rsidR="00EA7A88">
        <w:t xml:space="preserve"> </w:t>
      </w:r>
      <w:r w:rsidR="00203655">
        <w:rPr>
          <w:szCs w:val="28"/>
          <w:lang w:eastAsia="ar-SA"/>
        </w:rPr>
        <w:t>утративши</w:t>
      </w:r>
      <w:r w:rsidR="006B37FC">
        <w:rPr>
          <w:szCs w:val="28"/>
          <w:lang w:eastAsia="ar-SA"/>
        </w:rPr>
        <w:t>х</w:t>
      </w:r>
      <w:r w:rsidR="00C70F21" w:rsidRPr="00C70F21">
        <w:rPr>
          <w:szCs w:val="28"/>
          <w:lang w:eastAsia="ar-SA"/>
        </w:rPr>
        <w:t xml:space="preserve"> потребительские свойства </w:t>
      </w:r>
      <w:r w:rsidR="00C70F21" w:rsidRPr="00C70F21">
        <w:rPr>
          <w:b/>
          <w:bCs/>
          <w:szCs w:val="28"/>
          <w:lang w:eastAsia="ar-SA"/>
        </w:rPr>
        <w:t>(</w:t>
      </w:r>
      <w:r w:rsidR="00C70F21" w:rsidRPr="00C70F21">
        <w:rPr>
          <w:bCs/>
          <w:szCs w:val="28"/>
          <w:lang w:eastAsia="ar-SA"/>
        </w:rPr>
        <w:t xml:space="preserve">батареи, аккумуляторы </w:t>
      </w:r>
      <w:r w:rsidR="00C70F21" w:rsidRPr="0093229E">
        <w:rPr>
          <w:color w:val="342E2F"/>
          <w:szCs w:val="28"/>
          <w:lang w:eastAsia="ru-RU"/>
        </w:rPr>
        <w:t xml:space="preserve">от </w:t>
      </w:r>
      <w:r w:rsidR="00C70F21" w:rsidRPr="0093229E">
        <w:rPr>
          <w:color w:val="342E2F"/>
          <w:szCs w:val="28"/>
          <w:lang w:eastAsia="ru-RU"/>
        </w:rPr>
        <w:lastRenderedPageBreak/>
        <w:t>ноутбуков, телефонов и др.</w:t>
      </w:r>
      <w:r w:rsidR="00C70F21">
        <w:rPr>
          <w:color w:val="342E2F"/>
          <w:szCs w:val="28"/>
          <w:lang w:eastAsia="ru-RU"/>
        </w:rPr>
        <w:t xml:space="preserve">, </w:t>
      </w:r>
      <w:r w:rsidR="00C70F21" w:rsidRPr="00C70F21">
        <w:rPr>
          <w:bCs/>
          <w:szCs w:val="28"/>
          <w:lang w:eastAsia="ar-SA"/>
        </w:rPr>
        <w:t>кроме аккумуляторов для транспортных средств)</w:t>
      </w:r>
      <w:r w:rsidR="00C70F21">
        <w:t xml:space="preserve"> </w:t>
      </w:r>
      <w:r w:rsidR="006B37FC" w:rsidRPr="006B37FC">
        <w:rPr>
          <w:szCs w:val="28"/>
          <w:lang w:eastAsia="ru-RU"/>
        </w:rPr>
        <w:t xml:space="preserve">в целях их дальнейшей транспортировки, обработки </w:t>
      </w:r>
      <w:r w:rsidR="006B37FC" w:rsidRPr="006B37FC">
        <w:rPr>
          <w:szCs w:val="28"/>
          <w:lang w:eastAsia="ar-SA"/>
        </w:rPr>
        <w:t xml:space="preserve">и утилизации </w:t>
      </w:r>
      <w:r w:rsidR="006B37FC">
        <w:rPr>
          <w:szCs w:val="28"/>
          <w:lang w:eastAsia="ru-RU"/>
        </w:rPr>
        <w:t xml:space="preserve">специализированной организации </w:t>
      </w:r>
      <w:r w:rsidR="006B37FC" w:rsidRPr="00D8733B">
        <w:rPr>
          <w:b/>
          <w:szCs w:val="28"/>
          <w:lang w:eastAsia="ar-SA"/>
        </w:rPr>
        <w:t>по нижеследующим адресам:</w:t>
      </w:r>
      <w:r w:rsidR="006B37FC" w:rsidRPr="006B37FC">
        <w:rPr>
          <w:szCs w:val="28"/>
          <w:lang w:eastAsia="ar-SA"/>
        </w:rPr>
        <w:t xml:space="preserve"> </w:t>
      </w:r>
    </w:p>
    <w:p w:rsidR="006B37FC" w:rsidRPr="006B37FC" w:rsidRDefault="006B37FC" w:rsidP="006B37FC">
      <w:pPr>
        <w:numPr>
          <w:ilvl w:val="0"/>
          <w:numId w:val="2"/>
        </w:numPr>
        <w:tabs>
          <w:tab w:val="left" w:pos="1134"/>
        </w:tabs>
        <w:suppressAutoHyphens/>
        <w:spacing w:line="360" w:lineRule="exact"/>
        <w:ind w:left="0" w:right="1" w:firstLine="709"/>
        <w:contextualSpacing/>
        <w:jc w:val="both"/>
        <w:rPr>
          <w:rFonts w:eastAsia="Calibri"/>
          <w:szCs w:val="28"/>
        </w:rPr>
      </w:pPr>
      <w:r w:rsidRPr="006B37FC">
        <w:rPr>
          <w:szCs w:val="28"/>
          <w:lang w:eastAsia="ru-RU"/>
        </w:rPr>
        <w:t>Култаевского территориального управления по адресу: с. Култаево, ул. Романа Кашина, 87.</w:t>
      </w:r>
    </w:p>
    <w:p w:rsidR="006B37FC" w:rsidRPr="006B37FC" w:rsidRDefault="006B37FC" w:rsidP="006B37FC">
      <w:pPr>
        <w:numPr>
          <w:ilvl w:val="0"/>
          <w:numId w:val="2"/>
        </w:numPr>
        <w:tabs>
          <w:tab w:val="left" w:pos="1134"/>
          <w:tab w:val="left" w:pos="7120"/>
        </w:tabs>
        <w:suppressAutoHyphens/>
        <w:spacing w:line="360" w:lineRule="exact"/>
        <w:ind w:left="0" w:right="1" w:firstLine="709"/>
        <w:contextualSpacing/>
        <w:jc w:val="both"/>
        <w:rPr>
          <w:rFonts w:eastAsia="Calibri"/>
          <w:szCs w:val="28"/>
        </w:rPr>
      </w:pPr>
      <w:r w:rsidRPr="006B37FC">
        <w:rPr>
          <w:rFonts w:eastAsia="Calibri"/>
          <w:szCs w:val="28"/>
        </w:rPr>
        <w:t>Юго-Камского территориального управления по адресу: Пермский край, Пермский муниципальный округ, п. Юго-Камский, ул. Советская, д. 114.</w:t>
      </w:r>
    </w:p>
    <w:p w:rsidR="006B37FC" w:rsidRPr="006B37FC" w:rsidRDefault="006B37FC" w:rsidP="006B37FC">
      <w:pPr>
        <w:numPr>
          <w:ilvl w:val="0"/>
          <w:numId w:val="2"/>
        </w:numPr>
        <w:tabs>
          <w:tab w:val="left" w:pos="1276"/>
          <w:tab w:val="left" w:pos="7797"/>
          <w:tab w:val="left" w:pos="8364"/>
        </w:tabs>
        <w:suppressAutoHyphens/>
        <w:spacing w:line="360" w:lineRule="exact"/>
        <w:ind w:left="0" w:firstLine="709"/>
        <w:contextualSpacing/>
        <w:jc w:val="both"/>
        <w:rPr>
          <w:szCs w:val="28"/>
          <w:shd w:val="clear" w:color="auto" w:fill="FFFFFF"/>
          <w:lang w:eastAsia="ru-RU"/>
        </w:rPr>
      </w:pPr>
      <w:r w:rsidRPr="006B37FC">
        <w:rPr>
          <w:rFonts w:eastAsia="Calibri"/>
          <w:szCs w:val="28"/>
        </w:rPr>
        <w:t xml:space="preserve">Фроловское территориальное управление: </w:t>
      </w:r>
      <w:r w:rsidRPr="006B37FC">
        <w:rPr>
          <w:szCs w:val="28"/>
          <w:shd w:val="clear" w:color="auto" w:fill="FFFFFF"/>
          <w:lang w:eastAsia="ru-RU"/>
        </w:rPr>
        <w:t xml:space="preserve">здание дома культуры «Кредо» по адресу: с. Фролы, ул. Садовая, 14. </w:t>
      </w:r>
    </w:p>
    <w:p w:rsidR="006B37FC" w:rsidRPr="006B37FC" w:rsidRDefault="006B37FC" w:rsidP="006B37FC">
      <w:pPr>
        <w:numPr>
          <w:ilvl w:val="0"/>
          <w:numId w:val="2"/>
        </w:numPr>
        <w:tabs>
          <w:tab w:val="left" w:pos="1276"/>
          <w:tab w:val="left" w:pos="7120"/>
          <w:tab w:val="left" w:pos="7797"/>
          <w:tab w:val="left" w:pos="8364"/>
        </w:tabs>
        <w:suppressAutoHyphens/>
        <w:spacing w:line="360" w:lineRule="exact"/>
        <w:ind w:left="0" w:right="1" w:firstLine="709"/>
        <w:contextualSpacing/>
        <w:jc w:val="both"/>
        <w:rPr>
          <w:rFonts w:eastAsia="Calibri"/>
          <w:szCs w:val="28"/>
        </w:rPr>
      </w:pPr>
      <w:r w:rsidRPr="006B37FC">
        <w:rPr>
          <w:rFonts w:eastAsia="Calibri"/>
          <w:szCs w:val="28"/>
        </w:rPr>
        <w:t xml:space="preserve">Кондратовское территориальное управление: </w:t>
      </w:r>
      <w:r w:rsidRPr="006B37FC">
        <w:rPr>
          <w:szCs w:val="28"/>
          <w:lang w:eastAsia="ru-RU"/>
        </w:rPr>
        <w:t>д. Кондратово, ул. Садовое кольцо, д. 14, кабинет № 3.</w:t>
      </w:r>
    </w:p>
    <w:p w:rsidR="006B37FC" w:rsidRPr="006B37FC" w:rsidRDefault="006B37FC" w:rsidP="006B37FC">
      <w:pPr>
        <w:numPr>
          <w:ilvl w:val="0"/>
          <w:numId w:val="2"/>
        </w:numPr>
        <w:tabs>
          <w:tab w:val="left" w:pos="1276"/>
          <w:tab w:val="left" w:pos="7120"/>
          <w:tab w:val="left" w:pos="7797"/>
          <w:tab w:val="left" w:pos="8364"/>
        </w:tabs>
        <w:suppressAutoHyphens/>
        <w:spacing w:line="360" w:lineRule="exact"/>
        <w:ind w:left="0" w:right="1" w:firstLine="709"/>
        <w:contextualSpacing/>
        <w:jc w:val="both"/>
        <w:rPr>
          <w:rFonts w:eastAsia="Calibri"/>
          <w:szCs w:val="28"/>
        </w:rPr>
      </w:pPr>
      <w:r w:rsidRPr="006B37FC">
        <w:rPr>
          <w:szCs w:val="28"/>
          <w:lang w:eastAsia="ru-RU"/>
        </w:rPr>
        <w:t>Лобановского территориального управления по адресу: с. Лобаново, ул. Культуры, 2/1. В вестибюле здания администрации                        Лобановского территориального управления.</w:t>
      </w:r>
    </w:p>
    <w:p w:rsidR="006B37FC" w:rsidRPr="006B37FC" w:rsidRDefault="006B37FC" w:rsidP="006B37FC">
      <w:pPr>
        <w:numPr>
          <w:ilvl w:val="0"/>
          <w:numId w:val="2"/>
        </w:numPr>
        <w:tabs>
          <w:tab w:val="left" w:pos="1276"/>
          <w:tab w:val="left" w:pos="7120"/>
          <w:tab w:val="left" w:pos="7797"/>
          <w:tab w:val="left" w:pos="8364"/>
        </w:tabs>
        <w:suppressAutoHyphens/>
        <w:spacing w:line="360" w:lineRule="exact"/>
        <w:ind w:left="0" w:right="1" w:firstLine="709"/>
        <w:contextualSpacing/>
        <w:jc w:val="both"/>
        <w:rPr>
          <w:rFonts w:eastAsia="Calibri"/>
          <w:szCs w:val="28"/>
        </w:rPr>
      </w:pPr>
      <w:r w:rsidRPr="006B37FC">
        <w:rPr>
          <w:szCs w:val="28"/>
          <w:lang w:eastAsia="ru-RU"/>
        </w:rPr>
        <w:t>Сылвенского территориального управления по адресу: п. Сылва, ул. Большевистская, 41, здание Сылвенского территориального управления.</w:t>
      </w:r>
    </w:p>
    <w:p w:rsidR="006B37FC" w:rsidRPr="006B37FC" w:rsidRDefault="006B37FC" w:rsidP="006B37FC">
      <w:pPr>
        <w:numPr>
          <w:ilvl w:val="0"/>
          <w:numId w:val="2"/>
        </w:numPr>
        <w:tabs>
          <w:tab w:val="left" w:pos="1276"/>
          <w:tab w:val="left" w:pos="7120"/>
          <w:tab w:val="left" w:pos="7797"/>
          <w:tab w:val="left" w:pos="8364"/>
        </w:tabs>
        <w:suppressAutoHyphens/>
        <w:spacing w:line="360" w:lineRule="exact"/>
        <w:ind w:left="0" w:right="1" w:firstLine="709"/>
        <w:contextualSpacing/>
        <w:jc w:val="both"/>
        <w:rPr>
          <w:rFonts w:eastAsia="Calibri"/>
          <w:szCs w:val="28"/>
        </w:rPr>
      </w:pPr>
      <w:r w:rsidRPr="006B37FC">
        <w:rPr>
          <w:rFonts w:eastAsia="Calibri"/>
          <w:szCs w:val="28"/>
        </w:rPr>
        <w:t>Кукуштанского территориального управления по адресу: п. Кукуштан, ул. Чапаева, д. 70., здание администрации Кукуштанского территориального управления.</w:t>
      </w:r>
    </w:p>
    <w:p w:rsidR="006B37FC" w:rsidRPr="006B37FC" w:rsidRDefault="006B37FC" w:rsidP="006B37FC">
      <w:pPr>
        <w:numPr>
          <w:ilvl w:val="0"/>
          <w:numId w:val="2"/>
        </w:numPr>
        <w:tabs>
          <w:tab w:val="left" w:pos="1276"/>
          <w:tab w:val="left" w:pos="7120"/>
          <w:tab w:val="left" w:pos="7797"/>
          <w:tab w:val="left" w:pos="8364"/>
        </w:tabs>
        <w:suppressAutoHyphens/>
        <w:spacing w:line="360" w:lineRule="exact"/>
        <w:ind w:left="0" w:right="1" w:firstLine="709"/>
        <w:contextualSpacing/>
        <w:jc w:val="both"/>
        <w:rPr>
          <w:rFonts w:eastAsia="Calibri"/>
          <w:szCs w:val="28"/>
        </w:rPr>
      </w:pPr>
      <w:r w:rsidRPr="006B37FC">
        <w:rPr>
          <w:rFonts w:eastAsia="Calibri"/>
          <w:szCs w:val="28"/>
        </w:rPr>
        <w:t>Гамовского территориального управления по адресу: д. Песьянка, ул. Мелиораторов, 9.</w:t>
      </w:r>
    </w:p>
    <w:p w:rsidR="006B37FC" w:rsidRPr="006B37FC" w:rsidRDefault="006B37FC" w:rsidP="006B37FC">
      <w:pPr>
        <w:numPr>
          <w:ilvl w:val="0"/>
          <w:numId w:val="2"/>
        </w:numPr>
        <w:tabs>
          <w:tab w:val="left" w:pos="1276"/>
          <w:tab w:val="left" w:pos="7120"/>
          <w:tab w:val="left" w:pos="7797"/>
          <w:tab w:val="left" w:pos="8364"/>
        </w:tabs>
        <w:suppressAutoHyphens/>
        <w:spacing w:line="360" w:lineRule="exact"/>
        <w:ind w:left="0" w:right="1" w:firstLine="709"/>
        <w:contextualSpacing/>
        <w:jc w:val="both"/>
        <w:rPr>
          <w:rFonts w:eastAsia="Calibri"/>
          <w:szCs w:val="28"/>
        </w:rPr>
      </w:pPr>
      <w:r w:rsidRPr="006B37FC">
        <w:rPr>
          <w:rFonts w:eastAsia="Calibri"/>
          <w:szCs w:val="28"/>
        </w:rPr>
        <w:t xml:space="preserve">Юговского территориального управления по адресу: с. </w:t>
      </w:r>
      <w:proofErr w:type="gramStart"/>
      <w:r w:rsidRPr="006B37FC">
        <w:rPr>
          <w:rFonts w:eastAsia="Calibri"/>
          <w:szCs w:val="28"/>
        </w:rPr>
        <w:t xml:space="preserve">Бершеть,   </w:t>
      </w:r>
      <w:proofErr w:type="gramEnd"/>
      <w:r w:rsidRPr="006B37FC">
        <w:rPr>
          <w:rFonts w:eastAsia="Calibri"/>
          <w:szCs w:val="28"/>
        </w:rPr>
        <w:t xml:space="preserve">                             ул. Школьная, 9, здание администрации Юговского территориального управления.</w:t>
      </w:r>
    </w:p>
    <w:p w:rsidR="006B37FC" w:rsidRPr="006B37FC" w:rsidRDefault="006B37FC" w:rsidP="006B37FC">
      <w:pPr>
        <w:numPr>
          <w:ilvl w:val="0"/>
          <w:numId w:val="2"/>
        </w:numPr>
        <w:tabs>
          <w:tab w:val="left" w:pos="1276"/>
          <w:tab w:val="left" w:pos="7120"/>
          <w:tab w:val="left" w:pos="7797"/>
          <w:tab w:val="left" w:pos="8364"/>
        </w:tabs>
        <w:suppressAutoHyphens/>
        <w:spacing w:line="360" w:lineRule="exact"/>
        <w:ind w:left="0" w:right="1" w:firstLine="709"/>
        <w:contextualSpacing/>
        <w:jc w:val="both"/>
        <w:rPr>
          <w:rFonts w:eastAsia="Calibri"/>
          <w:szCs w:val="28"/>
        </w:rPr>
      </w:pPr>
      <w:r w:rsidRPr="006B37FC">
        <w:rPr>
          <w:rFonts w:eastAsia="Calibri"/>
          <w:szCs w:val="28"/>
        </w:rPr>
        <w:t xml:space="preserve">Усть-Качкинского территориального управления по адресу: </w:t>
      </w:r>
      <w:proofErr w:type="spellStart"/>
      <w:r w:rsidRPr="006B37FC">
        <w:rPr>
          <w:rFonts w:eastAsia="Calibri"/>
          <w:szCs w:val="28"/>
        </w:rPr>
        <w:t>с.Усть</w:t>
      </w:r>
      <w:proofErr w:type="spellEnd"/>
      <w:r w:rsidRPr="006B37FC">
        <w:rPr>
          <w:rFonts w:eastAsia="Calibri"/>
          <w:szCs w:val="28"/>
        </w:rPr>
        <w:t xml:space="preserve">-Качка, ул. </w:t>
      </w:r>
      <w:proofErr w:type="gramStart"/>
      <w:r w:rsidRPr="006B37FC">
        <w:rPr>
          <w:rFonts w:eastAsia="Calibri"/>
          <w:szCs w:val="28"/>
        </w:rPr>
        <w:t>Победы,  д.</w:t>
      </w:r>
      <w:proofErr w:type="gramEnd"/>
      <w:r w:rsidRPr="006B37FC">
        <w:rPr>
          <w:rFonts w:eastAsia="Calibri"/>
          <w:szCs w:val="28"/>
        </w:rPr>
        <w:t xml:space="preserve"> 12  здание  администрации (в фойе).</w:t>
      </w:r>
    </w:p>
    <w:p w:rsidR="006B37FC" w:rsidRPr="00D42165" w:rsidRDefault="006B37FC" w:rsidP="006B37FC">
      <w:pPr>
        <w:numPr>
          <w:ilvl w:val="0"/>
          <w:numId w:val="2"/>
        </w:numPr>
        <w:tabs>
          <w:tab w:val="left" w:pos="1276"/>
          <w:tab w:val="left" w:pos="7120"/>
          <w:tab w:val="left" w:pos="7797"/>
          <w:tab w:val="left" w:pos="8364"/>
        </w:tabs>
        <w:suppressAutoHyphens/>
        <w:spacing w:line="360" w:lineRule="exact"/>
        <w:ind w:left="0" w:right="1" w:firstLine="709"/>
        <w:contextualSpacing/>
        <w:jc w:val="both"/>
        <w:rPr>
          <w:rFonts w:eastAsia="Calibri"/>
          <w:szCs w:val="28"/>
        </w:rPr>
      </w:pPr>
      <w:r w:rsidRPr="006B37FC">
        <w:rPr>
          <w:szCs w:val="28"/>
          <w:lang w:eastAsia="ar-SA"/>
        </w:rPr>
        <w:t>Здание Думы Пермского муниципального округа Пермского края</w:t>
      </w:r>
      <w:r w:rsidRPr="006B37FC">
        <w:rPr>
          <w:rFonts w:eastAsia="Calibri"/>
          <w:szCs w:val="28"/>
        </w:rPr>
        <w:t xml:space="preserve"> по адресу:</w:t>
      </w:r>
      <w:r w:rsidRPr="006B37FC">
        <w:rPr>
          <w:szCs w:val="28"/>
          <w:lang w:eastAsia="ar-SA"/>
        </w:rPr>
        <w:t xml:space="preserve"> </w:t>
      </w:r>
      <w:r w:rsidRPr="006B37FC">
        <w:rPr>
          <w:szCs w:val="28"/>
          <w:shd w:val="clear" w:color="auto" w:fill="FFFFFF"/>
          <w:lang w:eastAsia="ar-SA"/>
        </w:rPr>
        <w:t xml:space="preserve"> г. Пермь, ул. Верхне-Муллинская, д. 73.</w:t>
      </w:r>
    </w:p>
    <w:p w:rsidR="00D42165" w:rsidRPr="006B37FC" w:rsidRDefault="00D42165" w:rsidP="00D42165">
      <w:pPr>
        <w:tabs>
          <w:tab w:val="left" w:pos="1276"/>
          <w:tab w:val="left" w:pos="7120"/>
          <w:tab w:val="left" w:pos="7797"/>
          <w:tab w:val="left" w:pos="8364"/>
        </w:tabs>
        <w:suppressAutoHyphens/>
        <w:spacing w:line="360" w:lineRule="exact"/>
        <w:ind w:left="709" w:right="1"/>
        <w:contextualSpacing/>
        <w:jc w:val="both"/>
        <w:rPr>
          <w:rFonts w:eastAsia="Calibri"/>
          <w:szCs w:val="28"/>
        </w:rPr>
      </w:pPr>
    </w:p>
    <w:p w:rsidR="00D42165" w:rsidRPr="00D8733B" w:rsidRDefault="00D42165" w:rsidP="00D42165">
      <w:pPr>
        <w:spacing w:line="360" w:lineRule="exact"/>
        <w:jc w:val="center"/>
        <w:rPr>
          <w:b/>
          <w:sz w:val="32"/>
          <w:szCs w:val="32"/>
        </w:rPr>
      </w:pPr>
      <w:r w:rsidRPr="00D8733B">
        <w:rPr>
          <w:b/>
          <w:sz w:val="32"/>
          <w:szCs w:val="32"/>
        </w:rPr>
        <w:t>Таким образом, каждый житель нашего округа сможет внести с</w:t>
      </w:r>
      <w:r w:rsidR="00550095" w:rsidRPr="00D8733B">
        <w:rPr>
          <w:b/>
          <w:sz w:val="32"/>
          <w:szCs w:val="32"/>
        </w:rPr>
        <w:t>вой вклад в общее дело по сохранению окружающей среды!</w:t>
      </w:r>
    </w:p>
    <w:p w:rsidR="00D42165" w:rsidRPr="00D42165" w:rsidRDefault="00D42165" w:rsidP="00D42165">
      <w:pPr>
        <w:spacing w:line="360" w:lineRule="exact"/>
        <w:jc w:val="center"/>
        <w:rPr>
          <w:b/>
          <w:szCs w:val="28"/>
        </w:rPr>
      </w:pPr>
    </w:p>
    <w:p w:rsidR="00EA7A88" w:rsidRDefault="00EA7A88" w:rsidP="0093229E">
      <w:pPr>
        <w:spacing w:line="360" w:lineRule="exact"/>
        <w:rPr>
          <w:szCs w:val="28"/>
        </w:rPr>
      </w:pPr>
    </w:p>
    <w:sectPr w:rsidR="00EA7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F24F1"/>
    <w:multiLevelType w:val="hybridMultilevel"/>
    <w:tmpl w:val="14E0325E"/>
    <w:lvl w:ilvl="0" w:tplc="06F428D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AF77F5"/>
    <w:multiLevelType w:val="multilevel"/>
    <w:tmpl w:val="82BC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5C"/>
    <w:rsid w:val="001C4AB1"/>
    <w:rsid w:val="00203655"/>
    <w:rsid w:val="00227B3E"/>
    <w:rsid w:val="0023775C"/>
    <w:rsid w:val="00261C71"/>
    <w:rsid w:val="00550095"/>
    <w:rsid w:val="005950E8"/>
    <w:rsid w:val="00601B78"/>
    <w:rsid w:val="00612AFA"/>
    <w:rsid w:val="00673589"/>
    <w:rsid w:val="006B37FC"/>
    <w:rsid w:val="00864D0F"/>
    <w:rsid w:val="0093229E"/>
    <w:rsid w:val="009C66CE"/>
    <w:rsid w:val="00BC2EB3"/>
    <w:rsid w:val="00C70F21"/>
    <w:rsid w:val="00D25887"/>
    <w:rsid w:val="00D42165"/>
    <w:rsid w:val="00D8733B"/>
    <w:rsid w:val="00E23F16"/>
    <w:rsid w:val="00EA7A88"/>
    <w:rsid w:val="00F2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8B50C-F976-4BF4-B725-025CD263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AFA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12AFA"/>
    <w:rPr>
      <w:i/>
      <w:iCs/>
    </w:rPr>
  </w:style>
  <w:style w:type="paragraph" w:styleId="a4">
    <w:name w:val="List Paragraph"/>
    <w:basedOn w:val="a"/>
    <w:uiPriority w:val="34"/>
    <w:qFormat/>
    <w:rsid w:val="00612AF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3775C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9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press</cp:lastModifiedBy>
  <cp:revision>2</cp:revision>
  <dcterms:created xsi:type="dcterms:W3CDTF">2026-03-24T09:36:00Z</dcterms:created>
  <dcterms:modified xsi:type="dcterms:W3CDTF">2026-03-24T09:36:00Z</dcterms:modified>
</cp:coreProperties>
</file>